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2FFC7141"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r>
              <w:rPr>
                <w:rFonts w:ascii="Times New Roman" w:eastAsia="Times New Roman" w:hAnsi="Times New Roman"/>
                <w:color w:val="000000"/>
                <w:sz w:val="18"/>
                <w:szCs w:val="18"/>
              </w:rPr>
              <w:t xml:space="preserve">  </w:t>
            </w:r>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40DE96DA" w:rsidR="00F75C2B" w:rsidRPr="00F01629" w:rsidRDefault="00F01629"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25</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364E0030" w:rsidR="00F75C2B" w:rsidRPr="00F01629" w:rsidRDefault="00F01629"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июня</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674EB0A9" w:rsidR="00F75C2B" w:rsidRPr="00162349" w:rsidRDefault="00162349"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F01629"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5A3A255D" w:rsidR="00F01629" w:rsidRPr="00941279" w:rsidRDefault="00F01629"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03B8409F"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4E93D373"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1823CBC1"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304C70F3"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312" w:type="dxa"/>
            <w:tcBorders>
              <w:top w:val="single" w:sz="4" w:space="0" w:color="auto"/>
              <w:bottom w:val="single" w:sz="4" w:space="0" w:color="auto"/>
            </w:tcBorders>
            <w:vAlign w:val="center"/>
          </w:tcPr>
          <w:p w14:paraId="6874AF6F" w14:textId="1B2A4D27"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32ACA3A5"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240ECE3B"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670A6661"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150672E1"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3371DAD6"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31E506F4"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3A4895DC"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0DA9DCE3"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488B9A46"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2EAA56E8" w:rsidR="00F01629" w:rsidRPr="00941279" w:rsidRDefault="00F01629"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F01629" w:rsidRPr="00660586" w:rsidRDefault="00F01629"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F01629" w:rsidRPr="00660586" w:rsidRDefault="00F01629"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bookmarkStart w:id="3" w:name="_GoBack"/>
      <w:bookmarkEnd w:id="3"/>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5670649E" w:rsidR="00077477" w:rsidRPr="00447FD1" w:rsidRDefault="002B2004" w:rsidP="00660586">
      <w:pPr>
        <w:autoSpaceDE w:val="0"/>
        <w:autoSpaceDN w:val="0"/>
        <w:spacing w:after="0" w:line="240" w:lineRule="auto"/>
        <w:jc w:val="center"/>
        <w:rPr>
          <w:rFonts w:ascii="Times New Roman" w:hAnsi="Times New Roman"/>
          <w:b/>
          <w:bCs/>
          <w:color w:val="000000"/>
          <w:sz w:val="28"/>
          <w:szCs w:val="28"/>
        </w:rPr>
      </w:pPr>
      <w:r w:rsidRPr="00447FD1">
        <w:rPr>
          <w:rFonts w:ascii="Times New Roman" w:hAnsi="Times New Roman"/>
          <w:b/>
          <w:bCs/>
          <w:color w:val="000000"/>
          <w:sz w:val="28"/>
          <w:szCs w:val="28"/>
        </w:rPr>
        <w:t xml:space="preserve"> </w:t>
      </w: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6416B844"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696BA9" w:rsidRPr="00696BA9">
        <w:rPr>
          <w:rFonts w:ascii="Times New Roman" w:hAnsi="Times New Roman"/>
          <w:b/>
          <w:bCs/>
          <w:i/>
          <w:iCs/>
          <w:sz w:val="20"/>
          <w:szCs w:val="20"/>
        </w:rPr>
        <w:t>3</w:t>
      </w:r>
      <w:r w:rsidR="00BC1962" w:rsidRPr="00BC1962">
        <w:rPr>
          <w:rFonts w:ascii="Times New Roman" w:hAnsi="Times New Roman"/>
          <w:b/>
          <w:bCs/>
          <w:i/>
          <w:iCs/>
          <w:sz w:val="20"/>
          <w:szCs w:val="20"/>
        </w:rPr>
        <w:t>4</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44721" w:rsidRPr="00744721">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44721">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44721">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44721">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8517FB" w:rsidRPr="008517FB">
        <w:rPr>
          <w:rFonts w:ascii="Times New Roman" w:hAnsi="Times New Roman"/>
          <w:b/>
          <w:bCs/>
          <w:i/>
          <w:iCs/>
          <w:sz w:val="20"/>
          <w:szCs w:val="20"/>
        </w:rPr>
        <w:t>546</w:t>
      </w:r>
      <w:r w:rsidRPr="00B7161C">
        <w:rPr>
          <w:rFonts w:ascii="Times New Roman" w:hAnsi="Times New Roman"/>
          <w:b/>
          <w:bCs/>
          <w:i/>
          <w:iCs/>
          <w:sz w:val="20"/>
          <w:szCs w:val="20"/>
        </w:rPr>
        <w:t>-й (</w:t>
      </w:r>
      <w:r w:rsidR="008517FB">
        <w:rPr>
          <w:rFonts w:ascii="Times New Roman" w:hAnsi="Times New Roman"/>
          <w:b/>
          <w:bCs/>
          <w:i/>
          <w:iCs/>
          <w:sz w:val="20"/>
          <w:szCs w:val="20"/>
        </w:rPr>
        <w:t>Пятьсот</w:t>
      </w:r>
      <w:r w:rsidR="00DD1E30">
        <w:rPr>
          <w:rFonts w:ascii="Times New Roman" w:hAnsi="Times New Roman"/>
          <w:b/>
          <w:bCs/>
          <w:i/>
          <w:iCs/>
          <w:sz w:val="20"/>
          <w:szCs w:val="20"/>
        </w:rPr>
        <w:t xml:space="preserve"> </w:t>
      </w:r>
      <w:r w:rsidR="008517FB">
        <w:rPr>
          <w:rFonts w:ascii="Times New Roman" w:hAnsi="Times New Roman"/>
          <w:b/>
          <w:bCs/>
          <w:i/>
          <w:iCs/>
          <w:sz w:val="20"/>
          <w:szCs w:val="20"/>
        </w:rPr>
        <w:t>сорок шестой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163B5D86"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BC1962" w:rsidRPr="00BC1962">
        <w:rPr>
          <w:rFonts w:ascii="Times New Roman" w:hAnsi="Times New Roman"/>
          <w:color w:val="000000"/>
          <w:sz w:val="20"/>
          <w:szCs w:val="20"/>
        </w:rPr>
        <w:t>18</w:t>
      </w:r>
      <w:r w:rsidR="00821A1B">
        <w:rPr>
          <w:rFonts w:ascii="Times New Roman" w:hAnsi="Times New Roman"/>
          <w:color w:val="000000"/>
          <w:sz w:val="20"/>
          <w:szCs w:val="20"/>
        </w:rPr>
        <w:t>» </w:t>
      </w:r>
      <w:r w:rsidR="00447FD1">
        <w:rPr>
          <w:rFonts w:ascii="Times New Roman" w:hAnsi="Times New Roman"/>
          <w:color w:val="000000"/>
          <w:sz w:val="20"/>
          <w:szCs w:val="20"/>
        </w:rPr>
        <w:t>июня</w:t>
      </w:r>
      <w:r w:rsidR="00626333">
        <w:rPr>
          <w:rFonts w:ascii="Times New Roman" w:hAnsi="Times New Roman"/>
          <w:color w:val="000000"/>
          <w:sz w:val="20"/>
          <w:szCs w:val="20"/>
        </w:rPr>
        <w:t xml:space="preserve"> 2019г. Приказ №</w:t>
      </w:r>
      <w:r w:rsidR="00447FD1">
        <w:rPr>
          <w:rFonts w:ascii="Times New Roman" w:hAnsi="Times New Roman"/>
          <w:color w:val="000000"/>
          <w:sz w:val="20"/>
          <w:szCs w:val="20"/>
        </w:rPr>
        <w:t>1</w:t>
      </w:r>
      <w:r w:rsidR="00BC1962" w:rsidRPr="00BC1962">
        <w:rPr>
          <w:rFonts w:ascii="Times New Roman" w:hAnsi="Times New Roman"/>
          <w:color w:val="000000"/>
          <w:sz w:val="20"/>
          <w:szCs w:val="20"/>
        </w:rPr>
        <w:t>146</w:t>
      </w:r>
      <w:r w:rsidR="00821A1B">
        <w:rPr>
          <w:rFonts w:ascii="Times New Roman" w:hAnsi="Times New Roman"/>
          <w:color w:val="000000"/>
          <w:sz w:val="20"/>
          <w:szCs w:val="20"/>
        </w:rPr>
        <w:t xml:space="preserve"> от «</w:t>
      </w:r>
      <w:r w:rsidR="00BC1962" w:rsidRPr="00BC1962">
        <w:rPr>
          <w:rFonts w:ascii="Times New Roman" w:hAnsi="Times New Roman"/>
          <w:color w:val="000000"/>
          <w:sz w:val="20"/>
          <w:szCs w:val="20"/>
        </w:rPr>
        <w:t>18</w:t>
      </w:r>
      <w:r w:rsidR="00821A1B">
        <w:rPr>
          <w:rFonts w:ascii="Times New Roman" w:hAnsi="Times New Roman"/>
          <w:color w:val="000000"/>
          <w:sz w:val="20"/>
          <w:szCs w:val="20"/>
        </w:rPr>
        <w:t>» </w:t>
      </w:r>
      <w:r w:rsidR="00447FD1">
        <w:rPr>
          <w:rFonts w:ascii="Times New Roman" w:hAnsi="Times New Roman"/>
          <w:color w:val="000000"/>
          <w:sz w:val="20"/>
          <w:szCs w:val="20"/>
        </w:rPr>
        <w:t>июня</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4FB8D973" w14:textId="77777777" w:rsidR="0008729C" w:rsidRPr="00660586" w:rsidRDefault="0008729C" w:rsidP="0066058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17AE035" w14:textId="0056DE1F" w:rsidR="0008729C" w:rsidRPr="00660586" w:rsidRDefault="0008729C" w:rsidP="0066058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 №</w:t>
            </w:r>
            <w:r w:rsidR="00DB3724" w:rsidRPr="00660586">
              <w:rPr>
                <w:rFonts w:ascii="Times New Roman" w:hAnsi="Times New Roman"/>
                <w:b/>
                <w:color w:val="000000"/>
              </w:rPr>
              <w:t xml:space="preserve"> </w:t>
            </w:r>
            <w:r w:rsidR="006829A4" w:rsidRPr="00660586">
              <w:rPr>
                <w:rFonts w:ascii="Times New Roman" w:hAnsi="Times New Roman"/>
                <w:b/>
                <w:color w:val="000000"/>
              </w:rPr>
              <w:t>350000/3845-Д от 22.05.2018</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03432B6B" w:rsidR="0068458E" w:rsidRPr="00660586" w:rsidRDefault="0068458E" w:rsidP="00BC1962">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BA3C45">
              <w:rPr>
                <w:rFonts w:ascii="Times New Roman" w:eastAsia="Times New Roman" w:hAnsi="Times New Roman"/>
                <w:color w:val="000000"/>
                <w:sz w:val="20"/>
                <w:szCs w:val="20"/>
                <w:lang w:eastAsia="en-US"/>
              </w:rPr>
              <w:t xml:space="preserve"> </w:t>
            </w:r>
            <w:r w:rsidR="00447FD1">
              <w:rPr>
                <w:rFonts w:ascii="Times New Roman" w:eastAsia="Times New Roman" w:hAnsi="Times New Roman"/>
                <w:color w:val="000000"/>
                <w:sz w:val="20"/>
                <w:szCs w:val="20"/>
                <w:lang w:eastAsia="en-US"/>
              </w:rPr>
              <w:t>1</w:t>
            </w:r>
            <w:r w:rsidR="00BC1962">
              <w:rPr>
                <w:rFonts w:ascii="Times New Roman" w:eastAsia="Times New Roman" w:hAnsi="Times New Roman"/>
                <w:color w:val="000000"/>
                <w:sz w:val="20"/>
                <w:szCs w:val="20"/>
                <w:lang w:val="en-US" w:eastAsia="en-US"/>
              </w:rPr>
              <w:t>9</w:t>
            </w:r>
            <w:r w:rsidR="00BA3C45">
              <w:rPr>
                <w:rFonts w:ascii="Times New Roman" w:eastAsia="Times New Roman" w:hAnsi="Times New Roman"/>
                <w:color w:val="000000"/>
                <w:sz w:val="20"/>
                <w:szCs w:val="20"/>
                <w:lang w:eastAsia="en-US"/>
              </w:rPr>
              <w:t xml:space="preserve"> </w:t>
            </w:r>
            <w:r>
              <w:rPr>
                <w:rFonts w:ascii="Times New Roman" w:eastAsia="Times New Roman" w:hAnsi="Times New Roman"/>
                <w:color w:val="000000"/>
                <w:sz w:val="20"/>
                <w:szCs w:val="20"/>
                <w:lang w:eastAsia="en-US"/>
              </w:rPr>
              <w:t>»</w:t>
            </w:r>
          </w:p>
        </w:tc>
        <w:tc>
          <w:tcPr>
            <w:tcW w:w="1500" w:type="dxa"/>
            <w:vAlign w:val="bottom"/>
          </w:tcPr>
          <w:p w14:paraId="31F79DC6" w14:textId="7E9567B9" w:rsidR="0068458E" w:rsidRPr="00660586" w:rsidRDefault="00447FD1"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июня</w:t>
            </w:r>
            <w:r w:rsidR="005242FB">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71D1CF51"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834002" w:rsidRPr="00834002">
        <w:rPr>
          <w:b/>
          <w:i/>
          <w:sz w:val="22"/>
          <w:szCs w:val="22"/>
        </w:rPr>
        <w:t>3</w:t>
      </w:r>
      <w:r w:rsidR="00BC1962" w:rsidRPr="00BC1962">
        <w:rPr>
          <w:b/>
          <w:i/>
          <w:sz w:val="22"/>
          <w:szCs w:val="22"/>
        </w:rPr>
        <w:t>4</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295F4D1A"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44721">
        <w:rPr>
          <w:b/>
          <w:bCs/>
          <w:i/>
          <w:iCs/>
          <w:sz w:val="22"/>
          <w:szCs w:val="22"/>
        </w:rPr>
        <w:t>10</w:t>
      </w:r>
      <w:r w:rsidR="0008729C" w:rsidRPr="00B7161C">
        <w:rPr>
          <w:b/>
          <w:bCs/>
          <w:i/>
          <w:iCs/>
          <w:sz w:val="22"/>
          <w:szCs w:val="22"/>
        </w:rPr>
        <w:t xml:space="preserve"> 00</w:t>
      </w:r>
      <w:r w:rsidRPr="00B7161C">
        <w:rPr>
          <w:b/>
          <w:bCs/>
          <w:i/>
          <w:iCs/>
          <w:sz w:val="22"/>
          <w:szCs w:val="22"/>
        </w:rPr>
        <w:t>0 000 (</w:t>
      </w:r>
      <w:r w:rsidR="00744721">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78C8B88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w:t>
      </w:r>
      <w:r w:rsidR="00447FD1">
        <w:rPr>
          <w:rFonts w:ascii="Times New Roman" w:hAnsi="Times New Roman"/>
          <w:b/>
          <w:bCs/>
          <w:i/>
          <w:iCs/>
        </w:rPr>
        <w:t>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10C28DD7" w:rsidR="00180B91" w:rsidRPr="00660586" w:rsidRDefault="00447FD1" w:rsidP="00660586">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w:t>
      </w:r>
      <w:r w:rsidRPr="00F1323A">
        <w:rPr>
          <w:rFonts w:ascii="Times New Roman" w:hAnsi="Times New Roman"/>
          <w:b/>
          <w:bCs/>
          <w:i/>
          <w:iCs/>
        </w:rPr>
        <w:lastRenderedPageBreak/>
        <w:t>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77777777"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w:t>
      </w:r>
      <w:r w:rsidR="00B160FC" w:rsidRPr="00660586">
        <w:rPr>
          <w:rFonts w:ascii="Times New Roman" w:hAnsi="Times New Roman"/>
          <w:b/>
          <w:bCs/>
          <w:i/>
          <w:iCs/>
        </w:rPr>
        <w:t xml:space="preserve">Информация о величине процентной ставки по первому 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w:t>
      </w:r>
      <w:r w:rsidRPr="00660586">
        <w:rPr>
          <w:rFonts w:ascii="Times New Roman" w:hAnsi="Times New Roman"/>
          <w:b/>
          <w:bCs/>
          <w:i/>
          <w:iCs/>
        </w:rPr>
        <w:lastRenderedPageBreak/>
        <w:t>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lastRenderedPageBreak/>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4479434A"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первому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w:t>
      </w:r>
      <w:r w:rsidR="00B2474D" w:rsidRPr="00660586">
        <w:rPr>
          <w:rFonts w:ascii="Times New Roman" w:hAnsi="Times New Roman"/>
          <w:b/>
          <w:bCs/>
          <w:i/>
          <w:iCs/>
        </w:rPr>
        <w:lastRenderedPageBreak/>
        <w:t xml:space="preserve">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0919A9B0" w14:textId="754FF20E" w:rsidR="00447FD1" w:rsidRPr="00660586" w:rsidRDefault="00447FD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lastRenderedPageBreak/>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2F112041"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8517FB">
        <w:rPr>
          <w:b/>
          <w:bCs/>
          <w:i/>
          <w:iCs/>
          <w:sz w:val="22"/>
          <w:szCs w:val="22"/>
        </w:rPr>
        <w:t>546</w:t>
      </w:r>
      <w:r w:rsidR="003959E1" w:rsidRPr="00660586">
        <w:rPr>
          <w:b/>
          <w:bCs/>
          <w:i/>
          <w:iCs/>
          <w:sz w:val="22"/>
          <w:szCs w:val="22"/>
        </w:rPr>
        <w:t>-й (</w:t>
      </w:r>
      <w:r w:rsidR="008517FB">
        <w:rPr>
          <w:b/>
          <w:bCs/>
          <w:i/>
          <w:iCs/>
          <w:sz w:val="22"/>
          <w:szCs w:val="22"/>
        </w:rPr>
        <w:t>Пятьсот сорок шестой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30B2EF0C" w14:textId="77777777" w:rsidR="00447FD1" w:rsidRPr="00F1323A" w:rsidRDefault="00447FD1" w:rsidP="00447FD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5B8978D3" w14:textId="77777777" w:rsidR="00447FD1" w:rsidRPr="00F1323A" w:rsidRDefault="00447FD1" w:rsidP="00447FD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29BE8A2" w:rsidR="009B1DA2" w:rsidRPr="00660586" w:rsidRDefault="009B1DA2" w:rsidP="00660586">
      <w:pPr>
        <w:pStyle w:val="Default"/>
        <w:jc w:val="both"/>
        <w:rPr>
          <w:b/>
          <w:i/>
          <w:sz w:val="22"/>
          <w:szCs w:val="22"/>
        </w:rPr>
      </w:pPr>
      <w:r w:rsidRPr="00660586">
        <w:rPr>
          <w:b/>
          <w:i/>
          <w:sz w:val="22"/>
          <w:szCs w:val="22"/>
        </w:rPr>
        <w:t xml:space="preserve">Доходом по Биржевым облигациям является сумма купонных доходов, начисляемых за каждый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выплачиваемых в дату окончания соответствующего купонного периода.</w:t>
      </w:r>
    </w:p>
    <w:p w14:paraId="7FCC4D52" w14:textId="6A92A4E6"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8517FB">
        <w:rPr>
          <w:b/>
          <w:i/>
          <w:sz w:val="22"/>
          <w:szCs w:val="22"/>
        </w:rPr>
        <w:t>3</w:t>
      </w:r>
      <w:r w:rsidR="00180B91" w:rsidRPr="00660586">
        <w:rPr>
          <w:b/>
          <w:i/>
          <w:sz w:val="22"/>
          <w:szCs w:val="22"/>
        </w:rPr>
        <w:t xml:space="preserve"> (</w:t>
      </w:r>
      <w:r w:rsidR="008517FB">
        <w:rPr>
          <w:b/>
          <w:i/>
          <w:sz w:val="22"/>
          <w:szCs w:val="22"/>
        </w:rPr>
        <w:t>Три</w:t>
      </w:r>
      <w:r w:rsidR="00180B91" w:rsidRPr="00660586">
        <w:rPr>
          <w:b/>
          <w:i/>
          <w:sz w:val="22"/>
          <w:szCs w:val="22"/>
        </w:rPr>
        <w:t>).</w:t>
      </w:r>
    </w:p>
    <w:p w14:paraId="5BBF3042" w14:textId="75EF54D6" w:rsidR="005D3843" w:rsidRPr="00660586" w:rsidRDefault="005D3843" w:rsidP="00660586">
      <w:pPr>
        <w:pStyle w:val="Default"/>
        <w:jc w:val="both"/>
        <w:rPr>
          <w:b/>
          <w:i/>
          <w:sz w:val="22"/>
          <w:szCs w:val="22"/>
        </w:rPr>
      </w:pPr>
      <w:r w:rsidRPr="00660586">
        <w:rPr>
          <w:b/>
          <w:i/>
          <w:sz w:val="22"/>
          <w:szCs w:val="22"/>
        </w:rPr>
        <w:t xml:space="preserve">Длительность </w:t>
      </w:r>
      <w:r w:rsidR="00CD21E7">
        <w:rPr>
          <w:b/>
          <w:i/>
          <w:sz w:val="22"/>
          <w:szCs w:val="22"/>
        </w:rPr>
        <w:t xml:space="preserve">каждого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0293F875"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каждому купону, определяется по формуле: </w:t>
      </w:r>
    </w:p>
    <w:p w14:paraId="1C0702EA" w14:textId="77777777" w:rsidR="000C47C4" w:rsidRPr="00660586" w:rsidRDefault="000C47C4" w:rsidP="00660586">
      <w:pPr>
        <w:pStyle w:val="CM7"/>
        <w:jc w:val="both"/>
        <w:rPr>
          <w:sz w:val="22"/>
          <w:szCs w:val="22"/>
        </w:rPr>
      </w:pPr>
      <w:r w:rsidRPr="00660586">
        <w:rPr>
          <w:b/>
          <w:bCs/>
          <w:i/>
          <w:iCs/>
          <w:sz w:val="22"/>
          <w:szCs w:val="22"/>
        </w:rPr>
        <w:lastRenderedPageBreak/>
        <w:t xml:space="preserve">КД = Cj * Nom * (T(j) -T(j-1))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112EF9F" w14:textId="16CD052B" w:rsidR="000C47C4" w:rsidRPr="00660586" w:rsidRDefault="000C47C4" w:rsidP="00660586">
      <w:pPr>
        <w:pStyle w:val="CM7"/>
        <w:jc w:val="both"/>
        <w:rPr>
          <w:sz w:val="22"/>
          <w:szCs w:val="22"/>
        </w:rPr>
      </w:pPr>
      <w:r w:rsidRPr="00660586">
        <w:rPr>
          <w:b/>
          <w:bCs/>
          <w:i/>
          <w:iCs/>
          <w:sz w:val="22"/>
          <w:szCs w:val="22"/>
        </w:rPr>
        <w:t>j – порядковый номер купонного периода, (j=1</w:t>
      </w:r>
      <w:r w:rsidR="008D7C27" w:rsidRPr="008A1128">
        <w:rPr>
          <w:b/>
          <w:bCs/>
          <w:i/>
          <w:iCs/>
          <w:sz w:val="22"/>
          <w:szCs w:val="22"/>
        </w:rPr>
        <w:t>,</w:t>
      </w:r>
      <w:r w:rsidR="00626333">
        <w:rPr>
          <w:b/>
          <w:bCs/>
          <w:i/>
          <w:iCs/>
          <w:sz w:val="22"/>
          <w:szCs w:val="22"/>
        </w:rPr>
        <w:t xml:space="preserve"> </w:t>
      </w:r>
      <w:r w:rsidRPr="00660586">
        <w:rPr>
          <w:b/>
          <w:bCs/>
          <w:i/>
          <w:iCs/>
          <w:sz w:val="22"/>
          <w:szCs w:val="22"/>
        </w:rPr>
        <w:t>2</w:t>
      </w:r>
      <w:r w:rsidR="008517FB">
        <w:rPr>
          <w:b/>
          <w:bCs/>
          <w:i/>
          <w:iCs/>
          <w:sz w:val="22"/>
          <w:szCs w:val="22"/>
        </w:rPr>
        <w:t>, 3</w:t>
      </w:r>
      <w:r w:rsidRPr="00660586">
        <w:rPr>
          <w:b/>
          <w:bCs/>
          <w:i/>
          <w:iCs/>
          <w:sz w:val="22"/>
          <w:szCs w:val="22"/>
        </w:rPr>
        <w:t xml:space="preserve">);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77777777" w:rsidR="000C47C4" w:rsidRPr="00660586" w:rsidRDefault="000C47C4" w:rsidP="00660586">
      <w:pPr>
        <w:pStyle w:val="CM7"/>
        <w:jc w:val="both"/>
        <w:rPr>
          <w:sz w:val="22"/>
          <w:szCs w:val="22"/>
        </w:rPr>
      </w:pPr>
      <w:r w:rsidRPr="00660586">
        <w:rPr>
          <w:b/>
          <w:bCs/>
          <w:i/>
          <w:iCs/>
          <w:sz w:val="22"/>
          <w:szCs w:val="22"/>
        </w:rPr>
        <w:t xml:space="preserve">Cj – размер процентной ставки j-го купона, в процентах годовых; </w:t>
      </w:r>
    </w:p>
    <w:p w14:paraId="3F33BFF5" w14:textId="77777777" w:rsidR="000C47C4" w:rsidRPr="00660586" w:rsidRDefault="000C47C4" w:rsidP="00660586">
      <w:pPr>
        <w:pStyle w:val="CM7"/>
        <w:jc w:val="both"/>
        <w:rPr>
          <w:sz w:val="22"/>
          <w:szCs w:val="22"/>
        </w:rPr>
      </w:pPr>
      <w:r w:rsidRPr="00660586">
        <w:rPr>
          <w:b/>
          <w:bCs/>
          <w:i/>
          <w:iCs/>
          <w:sz w:val="22"/>
          <w:szCs w:val="22"/>
        </w:rPr>
        <w:t xml:space="preserve">T(j-1) – дата начала j-го купонного периода; </w:t>
      </w:r>
    </w:p>
    <w:p w14:paraId="3F57EBC0" w14:textId="77777777" w:rsidR="000C47C4" w:rsidRPr="00660586" w:rsidRDefault="000C47C4" w:rsidP="00660586">
      <w:pPr>
        <w:pStyle w:val="CM7"/>
        <w:jc w:val="both"/>
        <w:rPr>
          <w:sz w:val="22"/>
          <w:szCs w:val="22"/>
        </w:rPr>
      </w:pPr>
      <w:r w:rsidRPr="00660586">
        <w:rPr>
          <w:b/>
          <w:bCs/>
          <w:i/>
          <w:iCs/>
          <w:sz w:val="22"/>
          <w:szCs w:val="22"/>
        </w:rPr>
        <w:t xml:space="preserve">T(j) – дата окончания j-го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7777777"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первому купону. </w:t>
      </w:r>
    </w:p>
    <w:p w14:paraId="34005607" w14:textId="25F39E23"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первому купону раскрывается Эмитентом в соответствии с п.11 Программы.</w:t>
      </w:r>
      <w:r w:rsidR="006C3272" w:rsidRPr="00660586">
        <w:rPr>
          <w:b/>
          <w:bCs/>
          <w:i/>
          <w:iCs/>
          <w:sz w:val="22"/>
          <w:szCs w:val="22"/>
        </w:rPr>
        <w:t xml:space="preserve"> </w:t>
      </w:r>
    </w:p>
    <w:p w14:paraId="16642070" w14:textId="77777777" w:rsidR="00DB115B" w:rsidRPr="00660586" w:rsidRDefault="00DB115B" w:rsidP="00660586">
      <w:pPr>
        <w:pStyle w:val="Default"/>
        <w:jc w:val="both"/>
        <w:rPr>
          <w:bCs/>
          <w:iCs/>
          <w:color w:val="auto"/>
          <w:sz w:val="22"/>
          <w:szCs w:val="22"/>
        </w:rPr>
      </w:pPr>
    </w:p>
    <w:p w14:paraId="0BF111A7" w14:textId="77777777" w:rsidR="005E0D08" w:rsidRPr="00660586" w:rsidRDefault="005E0D08" w:rsidP="00660586">
      <w:pPr>
        <w:pStyle w:val="Default"/>
        <w:jc w:val="both"/>
        <w:rPr>
          <w:bCs/>
          <w:iCs/>
          <w:color w:val="auto"/>
          <w:sz w:val="22"/>
          <w:szCs w:val="22"/>
        </w:rPr>
      </w:pPr>
      <w:r w:rsidRPr="00660586">
        <w:rPr>
          <w:bCs/>
          <w:iCs/>
          <w:color w:val="auto"/>
          <w:sz w:val="22"/>
          <w:szCs w:val="22"/>
        </w:rPr>
        <w:t xml:space="preserve">Порядок определения процентной ставки по купонам, начиная со второго: </w:t>
      </w:r>
    </w:p>
    <w:p w14:paraId="7165FE4B" w14:textId="3728851D" w:rsidR="00BD66C2" w:rsidRPr="00660586" w:rsidRDefault="00BD66C2" w:rsidP="00660586">
      <w:pPr>
        <w:pStyle w:val="Default"/>
        <w:jc w:val="both"/>
        <w:rPr>
          <w:b/>
          <w:bCs/>
          <w:i/>
          <w:iCs/>
          <w:sz w:val="22"/>
          <w:szCs w:val="22"/>
        </w:rPr>
      </w:pPr>
      <w:r w:rsidRPr="00660586">
        <w:rPr>
          <w:b/>
          <w:bCs/>
          <w:i/>
          <w:iCs/>
          <w:sz w:val="22"/>
          <w:szCs w:val="22"/>
        </w:rPr>
        <w:t>Процентн</w:t>
      </w:r>
      <w:r w:rsidR="008517FB">
        <w:rPr>
          <w:b/>
          <w:bCs/>
          <w:i/>
          <w:iCs/>
          <w:sz w:val="22"/>
          <w:szCs w:val="22"/>
        </w:rPr>
        <w:t>ые</w:t>
      </w:r>
      <w:r w:rsidRPr="00660586">
        <w:rPr>
          <w:b/>
          <w:bCs/>
          <w:i/>
          <w:iCs/>
          <w:sz w:val="22"/>
          <w:szCs w:val="22"/>
        </w:rPr>
        <w:t xml:space="preserve"> ставк</w:t>
      </w:r>
      <w:r w:rsidR="008517FB">
        <w:rPr>
          <w:b/>
          <w:bCs/>
          <w:i/>
          <w:iCs/>
          <w:sz w:val="22"/>
          <w:szCs w:val="22"/>
        </w:rPr>
        <w:t>и</w:t>
      </w:r>
      <w:r w:rsidRPr="00660586">
        <w:rPr>
          <w:b/>
          <w:bCs/>
          <w:i/>
          <w:iCs/>
          <w:sz w:val="22"/>
          <w:szCs w:val="22"/>
        </w:rPr>
        <w:t xml:space="preserve"> по </w:t>
      </w:r>
      <w:r w:rsidR="001439DC">
        <w:rPr>
          <w:b/>
          <w:bCs/>
          <w:i/>
          <w:iCs/>
          <w:sz w:val="22"/>
          <w:szCs w:val="22"/>
        </w:rPr>
        <w:t xml:space="preserve">второму </w:t>
      </w:r>
      <w:r w:rsidR="008517FB">
        <w:rPr>
          <w:b/>
          <w:bCs/>
          <w:i/>
          <w:iCs/>
          <w:sz w:val="22"/>
          <w:szCs w:val="22"/>
        </w:rPr>
        <w:t xml:space="preserve">и третьему </w:t>
      </w:r>
      <w:r w:rsidRPr="00660586">
        <w:rPr>
          <w:b/>
          <w:bCs/>
          <w:i/>
          <w:iCs/>
          <w:sz w:val="22"/>
          <w:szCs w:val="22"/>
        </w:rPr>
        <w:t>купон</w:t>
      </w:r>
      <w:r w:rsidR="008517FB">
        <w:rPr>
          <w:b/>
          <w:bCs/>
          <w:i/>
          <w:iCs/>
          <w:sz w:val="22"/>
          <w:szCs w:val="22"/>
        </w:rPr>
        <w:t>ам</w:t>
      </w:r>
      <w:r w:rsidRPr="00660586">
        <w:rPr>
          <w:b/>
          <w:bCs/>
          <w:i/>
          <w:iCs/>
          <w:sz w:val="22"/>
          <w:szCs w:val="22"/>
        </w:rPr>
        <w:t xml:space="preserve"> равн</w:t>
      </w:r>
      <w:r w:rsidR="008517FB">
        <w:rPr>
          <w:b/>
          <w:bCs/>
          <w:i/>
          <w:iCs/>
          <w:sz w:val="22"/>
          <w:szCs w:val="22"/>
        </w:rPr>
        <w:t>ы</w:t>
      </w:r>
      <w:r w:rsidRPr="00660586">
        <w:rPr>
          <w:b/>
          <w:bCs/>
          <w:i/>
          <w:iCs/>
          <w:sz w:val="22"/>
          <w:szCs w:val="22"/>
        </w:rPr>
        <w:t xml:space="preserve"> ставке по первому купону.</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3B272991" w14:textId="77777777" w:rsidR="00180B91" w:rsidRPr="00660586" w:rsidRDefault="00180B91" w:rsidP="00660586">
      <w:pPr>
        <w:autoSpaceDE w:val="0"/>
        <w:autoSpaceDN w:val="0"/>
        <w:spacing w:after="0" w:line="240" w:lineRule="auto"/>
        <w:jc w:val="both"/>
        <w:rPr>
          <w:rFonts w:ascii="Times New Roman" w:hAnsi="Times New Roman"/>
          <w:bCs/>
          <w:lang w:eastAsia="en-US"/>
        </w:rPr>
      </w:pPr>
      <w:r w:rsidRPr="00660586">
        <w:rPr>
          <w:rFonts w:ascii="Times New Roman" w:hAnsi="Times New Roman"/>
          <w:bCs/>
          <w:lang w:eastAsia="en-US"/>
        </w:rPr>
        <w:t>1. Купон:</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4828CEDB"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6955470A" w14:textId="553C67CC" w:rsidR="00180B91" w:rsidRPr="00660586" w:rsidRDefault="002F692C" w:rsidP="00660586">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2</w:t>
      </w:r>
      <w:r w:rsidR="00180B91" w:rsidRPr="00660586">
        <w:rPr>
          <w:rFonts w:ascii="Times New Roman" w:hAnsi="Times New Roman"/>
          <w:bCs/>
          <w:lang w:eastAsia="en-US"/>
        </w:rPr>
        <w:t>. Купон:</w:t>
      </w:r>
    </w:p>
    <w:p w14:paraId="07934BF6" w14:textId="3354F2E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начала размещения Биржевых облигаций;</w:t>
      </w:r>
    </w:p>
    <w:p w14:paraId="38D5E37A" w14:textId="337F7965" w:rsidR="00180B91"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F049A1" w:rsidRPr="00660586">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r w:rsidR="008517FB">
        <w:rPr>
          <w:rFonts w:ascii="Times New Roman" w:hAnsi="Times New Roman"/>
          <w:b/>
          <w:bCs/>
          <w:i/>
          <w:lang w:eastAsia="en-US"/>
        </w:rPr>
        <w:t>;</w:t>
      </w:r>
    </w:p>
    <w:p w14:paraId="02EDC2C1" w14:textId="6F43F2E2" w:rsidR="008517FB" w:rsidRPr="00660586" w:rsidRDefault="008517FB" w:rsidP="008517FB">
      <w:pPr>
        <w:autoSpaceDE w:val="0"/>
        <w:autoSpaceDN w:val="0"/>
        <w:spacing w:after="0" w:line="240" w:lineRule="auto"/>
        <w:jc w:val="both"/>
        <w:rPr>
          <w:rFonts w:ascii="Times New Roman" w:hAnsi="Times New Roman"/>
          <w:bCs/>
          <w:lang w:eastAsia="en-US"/>
        </w:rPr>
      </w:pPr>
      <w:r>
        <w:rPr>
          <w:rFonts w:ascii="Times New Roman" w:hAnsi="Times New Roman"/>
          <w:bCs/>
          <w:lang w:eastAsia="en-US"/>
        </w:rPr>
        <w:t>3</w:t>
      </w:r>
      <w:r w:rsidRPr="00660586">
        <w:rPr>
          <w:rFonts w:ascii="Times New Roman" w:hAnsi="Times New Roman"/>
          <w:bCs/>
          <w:lang w:eastAsia="en-US"/>
        </w:rPr>
        <w:t>. Купон:</w:t>
      </w:r>
    </w:p>
    <w:p w14:paraId="76552A5F" w14:textId="6DF08242" w:rsidR="008517FB" w:rsidRPr="00660586" w:rsidRDefault="008517FB" w:rsidP="008517FB">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начала купонного периода - </w:t>
      </w:r>
      <w:r>
        <w:rPr>
          <w:rFonts w:ascii="Times New Roman" w:hAnsi="Times New Roman"/>
          <w:b/>
          <w:bCs/>
          <w:i/>
          <w:lang w:eastAsia="en-US"/>
        </w:rPr>
        <w:t>364</w:t>
      </w:r>
      <w:r w:rsidRPr="00660586">
        <w:rPr>
          <w:rFonts w:ascii="Times New Roman" w:hAnsi="Times New Roman"/>
          <w:b/>
          <w:bCs/>
          <w:i/>
          <w:lang w:eastAsia="en-US"/>
        </w:rPr>
        <w:t>-й день с даты начала размещения Биржевых облигаций;</w:t>
      </w:r>
    </w:p>
    <w:p w14:paraId="3C476A90" w14:textId="5D8313E2" w:rsidR="008517FB" w:rsidRDefault="008517FB" w:rsidP="008517FB">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8E1176">
        <w:rPr>
          <w:rFonts w:ascii="Times New Roman" w:hAnsi="Times New Roman"/>
          <w:b/>
          <w:bCs/>
          <w:i/>
          <w:lang w:eastAsia="en-US"/>
        </w:rPr>
        <w:t>546</w:t>
      </w:r>
      <w:r w:rsidRPr="00660586">
        <w:rPr>
          <w:rFonts w:ascii="Times New Roman" w:hAnsi="Times New Roman"/>
          <w:b/>
          <w:bCs/>
          <w:i/>
          <w:lang w:eastAsia="en-US"/>
        </w:rPr>
        <w:t>-й день с даты начала размещения Биржевых облигаций</w:t>
      </w:r>
      <w:r>
        <w:rPr>
          <w:rFonts w:ascii="Times New Roman" w:hAnsi="Times New Roman"/>
          <w:b/>
          <w:bCs/>
          <w:i/>
          <w:lang w:eastAsia="en-US"/>
        </w:rPr>
        <w:t>.</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77777777"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3EA7AAA5"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любого из купонных периодов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120F9191" w14:textId="7A502E8E" w:rsidR="00447FD1" w:rsidRDefault="00447FD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lastRenderedPageBreak/>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 xml:space="preserve">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w:t>
      </w:r>
      <w:r w:rsidRPr="00660586">
        <w:rPr>
          <w:b/>
          <w:bCs/>
          <w:i/>
          <w:iCs/>
          <w:sz w:val="22"/>
          <w:szCs w:val="22"/>
        </w:rPr>
        <w:lastRenderedPageBreak/>
        <w:t>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61C81E83" w:rsidR="00180B91" w:rsidRPr="00BC1962"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8E117C" w:rsidRPr="008E117C">
        <w:rPr>
          <w:rFonts w:ascii="Times New Roman" w:hAnsi="Times New Roman"/>
          <w:b/>
          <w:bCs/>
          <w:color w:val="000000"/>
          <w:sz w:val="26"/>
          <w:szCs w:val="26"/>
        </w:rPr>
        <w:t>3</w:t>
      </w:r>
      <w:r w:rsidR="00BC1962" w:rsidRPr="00BC1962">
        <w:rPr>
          <w:rFonts w:ascii="Times New Roman" w:hAnsi="Times New Roman"/>
          <w:b/>
          <w:bCs/>
          <w:color w:val="000000"/>
          <w:sz w:val="26"/>
          <w:szCs w:val="26"/>
        </w:rPr>
        <w:t>4</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0E474D2B"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8E1176">
        <w:rPr>
          <w:rFonts w:ascii="Times New Roman" w:hAnsi="Times New Roman"/>
          <w:color w:val="000000"/>
        </w:rPr>
        <w:t>546</w:t>
      </w:r>
      <w:r w:rsidRPr="00660586">
        <w:rPr>
          <w:rFonts w:ascii="Times New Roman" w:hAnsi="Times New Roman"/>
          <w:color w:val="000000"/>
        </w:rPr>
        <w:t>-й (</w:t>
      </w:r>
      <w:r w:rsidR="008E1176">
        <w:rPr>
          <w:rFonts w:ascii="Times New Roman" w:hAnsi="Times New Roman"/>
          <w:color w:val="000000"/>
        </w:rPr>
        <w:t>Пятьсот сорок шестой)</w:t>
      </w:r>
      <w:r w:rsidRPr="00660586">
        <w:rPr>
          <w:rFonts w:ascii="Times New Roman" w:hAnsi="Times New Roman"/>
          <w:color w:val="000000"/>
        </w:rPr>
        <w:t xml:space="preserve">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505A2EED"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44721">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44721">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44721">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44721">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2B192C2C"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44721">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44721">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00245F6B" w14:textId="77777777" w:rsidR="004B3B70" w:rsidRPr="00660586" w:rsidRDefault="004B3B70" w:rsidP="00660586">
      <w:pPr>
        <w:spacing w:after="0" w:line="240" w:lineRule="auto"/>
        <w:ind w:left="567"/>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0E6D2919"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на открытых рынках Казначейства Финансового</w:t>
      </w:r>
    </w:p>
    <w:p w14:paraId="0CCE516B" w14:textId="77777777" w:rsidR="004B3B70" w:rsidRPr="00660586" w:rsidRDefault="004B3B70" w:rsidP="00660586">
      <w:pPr>
        <w:autoSpaceDE w:val="0"/>
        <w:autoSpaceDN w:val="0"/>
        <w:spacing w:after="0" w:line="240" w:lineRule="auto"/>
        <w:ind w:left="567" w:right="-1"/>
        <w:rPr>
          <w:rFonts w:ascii="Times New Roman" w:hAnsi="Times New Roman"/>
          <w:b/>
          <w:color w:val="000000"/>
        </w:rPr>
      </w:pPr>
      <w:r w:rsidRPr="00660586">
        <w:rPr>
          <w:rFonts w:ascii="Times New Roman" w:hAnsi="Times New Roman"/>
          <w:b/>
          <w:color w:val="000000"/>
        </w:rPr>
        <w:t>департамента - вице-президент, действующий на</w:t>
      </w:r>
    </w:p>
    <w:p w14:paraId="62163397" w14:textId="595A7CF1" w:rsidR="00180B91" w:rsidRPr="00660586" w:rsidRDefault="004B3B70" w:rsidP="00660586">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основании доверенности №</w:t>
      </w:r>
      <w:r w:rsidR="00DB3724" w:rsidRPr="00660586">
        <w:rPr>
          <w:rFonts w:ascii="Times New Roman" w:hAnsi="Times New Roman"/>
          <w:b/>
          <w:color w:val="000000"/>
        </w:rPr>
        <w:t xml:space="preserve"> 350000/3</w:t>
      </w:r>
      <w:r w:rsidR="006829A4" w:rsidRPr="00660586">
        <w:rPr>
          <w:rFonts w:ascii="Times New Roman" w:hAnsi="Times New Roman"/>
          <w:b/>
          <w:color w:val="000000"/>
        </w:rPr>
        <w:t>8</w:t>
      </w:r>
      <w:r w:rsidR="00DB3724" w:rsidRPr="00660586">
        <w:rPr>
          <w:rFonts w:ascii="Times New Roman" w:hAnsi="Times New Roman"/>
          <w:b/>
          <w:color w:val="000000"/>
        </w:rPr>
        <w:t>4</w:t>
      </w:r>
      <w:r w:rsidR="006829A4" w:rsidRPr="00660586">
        <w:rPr>
          <w:rFonts w:ascii="Times New Roman" w:hAnsi="Times New Roman"/>
          <w:b/>
          <w:color w:val="000000"/>
        </w:rPr>
        <w:t>5</w:t>
      </w:r>
      <w:r w:rsidR="00DB3724" w:rsidRPr="00660586">
        <w:rPr>
          <w:rFonts w:ascii="Times New Roman" w:hAnsi="Times New Roman"/>
          <w:b/>
          <w:color w:val="000000"/>
        </w:rPr>
        <w:t>-Д</w:t>
      </w:r>
      <w:r w:rsidR="00D47CF0" w:rsidRPr="00660586">
        <w:rPr>
          <w:rFonts w:ascii="Times New Roman" w:hAnsi="Times New Roman"/>
          <w:b/>
          <w:color w:val="000000"/>
        </w:rPr>
        <w:t xml:space="preserve"> </w:t>
      </w:r>
      <w:r w:rsidRPr="00660586">
        <w:rPr>
          <w:rFonts w:ascii="Times New Roman" w:hAnsi="Times New Roman"/>
          <w:b/>
          <w:color w:val="000000"/>
        </w:rPr>
        <w:t xml:space="preserve">от </w:t>
      </w:r>
      <w:r w:rsidR="006829A4" w:rsidRPr="00660586">
        <w:rPr>
          <w:rFonts w:ascii="Times New Roman" w:hAnsi="Times New Roman"/>
          <w:b/>
          <w:color w:val="000000"/>
        </w:rPr>
        <w:t>22.05</w:t>
      </w:r>
      <w:r w:rsidR="007A2379" w:rsidRPr="00660586">
        <w:rPr>
          <w:rFonts w:ascii="Times New Roman" w:hAnsi="Times New Roman"/>
          <w:b/>
          <w:color w:val="000000"/>
        </w:rPr>
        <w:t>.201</w:t>
      </w:r>
      <w:r w:rsidR="006829A4" w:rsidRPr="00660586">
        <w:rPr>
          <w:rFonts w:ascii="Times New Roman" w:hAnsi="Times New Roman"/>
          <w:b/>
          <w:color w:val="000000"/>
        </w:rPr>
        <w:t>8</w:t>
      </w:r>
      <w:r w:rsidR="00180B91" w:rsidRPr="00660586">
        <w:rPr>
          <w:rFonts w:ascii="Times New Roman" w:hAnsi="Times New Roman"/>
          <w:b/>
        </w:rPr>
        <w:t xml:space="preserve"> </w:t>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r>
      <w:r w:rsidRPr="00660586">
        <w:rPr>
          <w:sz w:val="20"/>
          <w:szCs w:val="20"/>
        </w:rPr>
        <w:lastRenderedPageBreak/>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33AFEE3D"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8E117C" w:rsidRPr="008E117C">
        <w:rPr>
          <w:b/>
          <w:i/>
          <w:sz w:val="22"/>
          <w:szCs w:val="22"/>
        </w:rPr>
        <w:t>3</w:t>
      </w:r>
      <w:r w:rsidR="00BC1962" w:rsidRPr="00BC1962">
        <w:rPr>
          <w:b/>
          <w:i/>
          <w:sz w:val="22"/>
          <w:szCs w:val="22"/>
        </w:rPr>
        <w:t>4</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3DEF9A3D"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BF39FA">
        <w:rPr>
          <w:b/>
          <w:bCs/>
          <w:i/>
          <w:iCs/>
          <w:color w:val="000000"/>
        </w:rPr>
        <w:t>546</w:t>
      </w:r>
      <w:r w:rsidRPr="00660586">
        <w:rPr>
          <w:b/>
          <w:bCs/>
          <w:i/>
          <w:iCs/>
          <w:color w:val="000000"/>
        </w:rPr>
        <w:t>-й (</w:t>
      </w:r>
      <w:r w:rsidR="00BF39FA">
        <w:rPr>
          <w:b/>
          <w:bCs/>
          <w:i/>
          <w:iCs/>
          <w:color w:val="000000"/>
        </w:rPr>
        <w:t>Пятьсот сорок шестой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lastRenderedPageBreak/>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D177D" w14:textId="77777777" w:rsidR="0079180D" w:rsidRDefault="0079180D" w:rsidP="0053664B">
      <w:pPr>
        <w:spacing w:after="0" w:line="240" w:lineRule="auto"/>
      </w:pPr>
      <w:r>
        <w:separator/>
      </w:r>
    </w:p>
  </w:endnote>
  <w:endnote w:type="continuationSeparator" w:id="0">
    <w:p w14:paraId="3A909394" w14:textId="77777777" w:rsidR="0079180D" w:rsidRDefault="0079180D"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70DAFC88" w:rsidR="00110183" w:rsidRDefault="00110183">
    <w:pPr>
      <w:pStyle w:val="ac"/>
      <w:jc w:val="right"/>
    </w:pPr>
    <w:r>
      <w:fldChar w:fldCharType="begin"/>
    </w:r>
    <w:r>
      <w:instrText>PAGE   \* MERGEFORMAT</w:instrText>
    </w:r>
    <w:r>
      <w:fldChar w:fldCharType="separate"/>
    </w:r>
    <w:r w:rsidR="00360080">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F00D6" w14:textId="77777777" w:rsidR="0079180D" w:rsidRDefault="0079180D" w:rsidP="0053664B">
      <w:pPr>
        <w:spacing w:after="0" w:line="240" w:lineRule="auto"/>
      </w:pPr>
      <w:r>
        <w:separator/>
      </w:r>
    </w:p>
  </w:footnote>
  <w:footnote w:type="continuationSeparator" w:id="0">
    <w:p w14:paraId="56A08A07" w14:textId="77777777" w:rsidR="0079180D" w:rsidRDefault="0079180D"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685"/>
    <w:rsid w:val="002B0CE5"/>
    <w:rsid w:val="002B2004"/>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0080"/>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47FD1"/>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80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17FB"/>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6"/>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1279"/>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1962"/>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9FA"/>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1629"/>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EE418839-5C34-4760-A522-28FEE346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12220650">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97CF9-58E7-4E1B-BA95-3FD0F7FB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6550</Words>
  <Characters>37340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2</cp:revision>
  <cp:lastPrinted>2019-04-11T07:48:00Z</cp:lastPrinted>
  <dcterms:created xsi:type="dcterms:W3CDTF">2021-01-27T09:33:00Z</dcterms:created>
  <dcterms:modified xsi:type="dcterms:W3CDTF">2021-01-27T09:33:00Z</dcterms:modified>
</cp:coreProperties>
</file>